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7774F" w14:textId="77777777" w:rsidR="00F20F61" w:rsidRPr="00F20F61" w:rsidRDefault="00F20F61" w:rsidP="00F20F61">
      <w:pPr>
        <w:pStyle w:val="a3"/>
        <w:shd w:val="clear" w:color="auto" w:fill="FFFFFF"/>
        <w:spacing w:before="0" w:beforeAutospacing="0" w:after="0" w:afterAutospacing="0"/>
        <w:ind w:firstLine="708"/>
        <w:jc w:val="both"/>
        <w:textAlignment w:val="baseline"/>
        <w:rPr>
          <w:rFonts w:ascii="Arial" w:hAnsi="Arial" w:cs="Arial"/>
          <w:b/>
          <w:bCs/>
          <w:color w:val="1F1F1F"/>
          <w:szCs w:val="28"/>
        </w:rPr>
      </w:pPr>
      <w:r w:rsidRPr="00F20F61">
        <w:rPr>
          <w:rFonts w:ascii="Arial" w:hAnsi="Arial" w:cs="Arial"/>
          <w:b/>
          <w:bCs/>
          <w:color w:val="1F1F1F"/>
          <w:szCs w:val="28"/>
        </w:rPr>
        <w:t>Информация о порядке выполнения технологических, технических и других мероприятий, связанных с технологическим присоединением к электрическим сетям (п.19 «и» Стандартов)</w:t>
      </w:r>
    </w:p>
    <w:p w14:paraId="05AC010B"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bookmarkStart w:id="0" w:name="_GoBack"/>
      <w:bookmarkEnd w:id="0"/>
    </w:p>
    <w:p w14:paraId="4FF004D5" w14:textId="63DA7573"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Технологическое присоединение к электрическим сетям осуществляется согласно Федеральному закону «Об электроэнергетике» (№ 35-ФЗ от 26.03.2003 г.) в порядке, определенном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 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N 861 от 27.12.2004 г. (далее – Правила).</w:t>
      </w:r>
    </w:p>
    <w:p w14:paraId="4ED8A347"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45F650AC" w14:textId="67FCC736" w:rsidR="00DD3672" w:rsidRPr="000F35BA" w:rsidRDefault="00DD3672" w:rsidP="00DD3672">
      <w:pPr>
        <w:pStyle w:val="a3"/>
        <w:shd w:val="clear" w:color="auto" w:fill="FFFFFF"/>
        <w:spacing w:before="0" w:beforeAutospacing="0" w:after="0" w:afterAutospacing="0"/>
        <w:ind w:firstLine="708"/>
        <w:jc w:val="center"/>
        <w:textAlignment w:val="baseline"/>
        <w:rPr>
          <w:rFonts w:ascii="Arial" w:hAnsi="Arial" w:cs="Arial"/>
          <w:b/>
          <w:bCs/>
          <w:color w:val="1F1F1F"/>
          <w:szCs w:val="28"/>
        </w:rPr>
      </w:pPr>
      <w:r w:rsidRPr="000F35BA">
        <w:rPr>
          <w:rFonts w:ascii="Arial" w:hAnsi="Arial" w:cs="Arial"/>
          <w:b/>
          <w:bCs/>
          <w:color w:val="1F1F1F"/>
          <w:szCs w:val="28"/>
        </w:rPr>
        <w:t>Процедура технологического присоединения (пункт 7 Правил):</w:t>
      </w:r>
    </w:p>
    <w:p w14:paraId="67735C73" w14:textId="77777777" w:rsidR="00DD3672" w:rsidRPr="000F35BA" w:rsidRDefault="00DD3672" w:rsidP="00DD3672">
      <w:pPr>
        <w:pStyle w:val="a3"/>
        <w:shd w:val="clear" w:color="auto" w:fill="FFFFFF"/>
        <w:spacing w:before="0" w:beforeAutospacing="0" w:after="0" w:afterAutospacing="0"/>
        <w:ind w:firstLine="708"/>
        <w:jc w:val="center"/>
        <w:textAlignment w:val="baseline"/>
        <w:rPr>
          <w:rFonts w:ascii="Arial" w:hAnsi="Arial" w:cs="Arial"/>
          <w:color w:val="1F1F1F"/>
          <w:szCs w:val="28"/>
        </w:rPr>
      </w:pPr>
    </w:p>
    <w:p w14:paraId="1581A28A" w14:textId="4FAE8EF4"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а) подача заявки юридическим или физическим лицом (далее – заявитель), которое имеет намерение осуществить технологическое присоединение впервые вводимых в эксплуатацию энергопринимающих устройств, увеличить объем максимальной мощности ранее присоединенных энергопринимающих устройств,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ранее присоединенных энергопринимающих устройств.</w:t>
      </w:r>
    </w:p>
    <w:p w14:paraId="76AF050C"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2945499F" w14:textId="33619878"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б) заключение договора.</w:t>
      </w:r>
    </w:p>
    <w:p w14:paraId="4222F7DB"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62262928" w14:textId="528B523E"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Сетевая организация, в отношении заявителей, указанных в пунктах 12(1), 13(2) - 13(5) и 14 Правил,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 (п. 105 Правил):</w:t>
      </w:r>
    </w:p>
    <w:p w14:paraId="45DEEB84"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6D05DFE9" w14:textId="13FDFC60"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14:paraId="11C7A50D"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156BDB91" w14:textId="3313A3B6"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счет, предусмотренный пунктом 103 настоящих Правил;</w:t>
      </w:r>
    </w:p>
    <w:p w14:paraId="137C5B9B"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65D30F22" w14:textId="24D2FEA9"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подпунктом "л" пункта 9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14:paraId="4D805975"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6CF873CD" w14:textId="4FF4C2F5"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в отношении заявителей, указанных в пунктах 13(2) - 13(5) настоящих Правил, - проект договора, обеспечивающего продажу электрической энергии (мощности), выработанной на объектах микрогенерации, на розничном рынке, подписанный усиленной квалифицированной электронной подписью уполномоченного лица гарантирующего поставщика, в чьей зоне деятельности находятся соответствующие объекты;</w:t>
      </w:r>
    </w:p>
    <w:p w14:paraId="7BE80897"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127F6142" w14:textId="0F9E9606"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 xml:space="preserve">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 юридическим лицам или индивидуальным предпринимателям в целях технологического присоединения по второй </w:t>
      </w:r>
      <w:r w:rsidRPr="000F35BA">
        <w:rPr>
          <w:rFonts w:ascii="Arial" w:hAnsi="Arial" w:cs="Arial"/>
          <w:color w:val="1F1F1F"/>
          <w:szCs w:val="28"/>
        </w:rPr>
        <w:lastRenderedPageBreak/>
        <w:t>или третьей категории надежности энергопринимающих устройств, максимальная мощность которых составляет до 150 кВт (с учетом ранее присоединенных в данной точке присоединения энергопринимающих устройств);</w:t>
      </w:r>
    </w:p>
    <w:p w14:paraId="51EE1FBF"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3BC2D61A" w14:textId="241512B5"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физическим лицам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w:t>
      </w:r>
    </w:p>
    <w:p w14:paraId="577B756E"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5940198C" w14:textId="1FBAEECA"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Договор между сетевой организацией и заявителями, указанными в пунктах 12(1), 13(2) - 13(5) и 14 настоящих Правил, считается заключенным на условиях, предусмотренных настоящими Правилами, со дня оплаты заявителем счета, предусмотренного пунктом 103 настоящих Правил (п. 104 Правил). Сетевая организация направляет в адрес заявителей для подписания заполненный и подписанный проект договора в 2 экземплярах и технические условия как неотъемлемое приложение к договору в следующие сроки (пункт 15 Правил): </w:t>
      </w:r>
    </w:p>
    <w:p w14:paraId="6167869C"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0B20E655" w14:textId="5BA3F699"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не позднее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3C3822F3"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830EF86" w14:textId="50A1962C"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в течение 10 дней со дня получения заявки: заявителям в целях временного технологического присоединения; </w:t>
      </w:r>
    </w:p>
    <w:p w14:paraId="620B0447"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58619456" w14:textId="5BB00004"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в течение 20 рабочих дней со дня получения заявки для иных категорий заявителей.</w:t>
      </w:r>
    </w:p>
    <w:p w14:paraId="09FD8CB2"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2848AF9" w14:textId="5F0B4A13"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Договор считается заключенным с даты поступления подписанного заявителем экземпляра договора в сетевую организацию.</w:t>
      </w:r>
    </w:p>
    <w:p w14:paraId="4F25AAB2"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21D4433B" w14:textId="731248CD"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В отношении заявителей (юридических лиц или индивидуальных предпринимателей), осуществляющих технологическое присоединение по второй или третьей категории надежности,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 (пункт 104 Правил).</w:t>
      </w:r>
    </w:p>
    <w:p w14:paraId="1F7FCE05"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672400ED" w14:textId="4D1D9845"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в) выполнение сторонами договора мероприятий, предусмотренных договором.</w:t>
      </w:r>
    </w:p>
    <w:p w14:paraId="03677C77"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6B4483C6" w14:textId="050F5EE0"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Срок осуществления мероприятий по технологическому присоединению, который исчисляется со дня заключения договора и не может превышать (пункт 16 б) Правил):</w:t>
      </w:r>
    </w:p>
    <w:p w14:paraId="39B76EAC"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E80308D" w14:textId="341E9C33"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30 рабочих дней - для заявителей:</w:t>
      </w:r>
    </w:p>
    <w:p w14:paraId="155B287F"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56D3612C" w14:textId="652D4D0D"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(с учетом ранее присоединенных в данной точке присоединения энергопринимающих устройств);</w:t>
      </w:r>
    </w:p>
    <w:p w14:paraId="15F1DF6A"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643A78F" w14:textId="3ED7C58D"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xml:space="preserve">-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w:t>
      </w:r>
      <w:r w:rsidRPr="000F35BA">
        <w:rPr>
          <w:rFonts w:ascii="Arial" w:hAnsi="Arial" w:cs="Arial"/>
          <w:color w:val="1F1F1F"/>
          <w:szCs w:val="28"/>
        </w:rPr>
        <w:lastRenderedPageBreak/>
        <w:t>предпринимательской деятельности, при одновременном соблюдении следующих условий;</w:t>
      </w:r>
    </w:p>
    <w:p w14:paraId="62D8AF37"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6C7FD2DE" w14:textId="2DC6AD85"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технологическое присоединение энергопринимающих устройств заявителя осуществляется к электрическим сетям классом напряжения 0,4 кВ и ниже;</w:t>
      </w:r>
    </w:p>
    <w:p w14:paraId="39FB874E"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7EC97825"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14:paraId="12131A0E"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14:paraId="01DB533F"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14:paraId="5615484A"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при несоблюдении любого из условий:</w:t>
      </w:r>
    </w:p>
    <w:p w14:paraId="098325C4"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74C8362"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14:paraId="1D58FC67"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4 месяца – для заявителей, максимальная мощность энергопринимающих устройств которых составляет до 670 кВт включительно;</w:t>
      </w:r>
    </w:p>
    <w:p w14:paraId="79D7BEED"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1 год – для заявителей, максимальная мощность энергопринимающих устройств которых составляет свыше 670 кВт;</w:t>
      </w:r>
    </w:p>
    <w:p w14:paraId="64C47D30"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в иных случаях:</w:t>
      </w:r>
    </w:p>
    <w:p w14:paraId="61037446" w14:textId="018299D3"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14:paraId="0A53E901"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5C909977" w14:textId="76C2986C"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6 месяцев – для заявителей, указанных в пунктах 12(1), 13(3), 13(5), 14 и 34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225E5E26"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25C439F" w14:textId="194E9579"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lastRenderedPageBreak/>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14:paraId="76C9093D"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189AF8FD" w14:textId="1974518A"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14:paraId="1E68CFA9"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C4ECDAB" w14:textId="35F34689"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14:paraId="50E5BBD4"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4634BEBC" w14:textId="1863877D"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г)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w:t>
      </w:r>
    </w:p>
    <w:p w14:paraId="3D518739"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7086132D"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В случае технологического присоединения объектов лиц, указанных в пункте 12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пунктах 12(1), 13, 13(2) - 13(5) и 14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пунктов 18(1) - 18(4) настоящих Правил не требуется.</w:t>
      </w:r>
    </w:p>
    <w:p w14:paraId="629AA03A" w14:textId="7BBD741D"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w:t>
      </w:r>
    </w:p>
    <w:p w14:paraId="2E1C77A5" w14:textId="1526B934"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ab/>
      </w:r>
    </w:p>
    <w:p w14:paraId="6101CD13"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 xml:space="preserve">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w:t>
      </w:r>
      <w:r w:rsidRPr="000F35BA">
        <w:rPr>
          <w:rFonts w:ascii="Arial" w:hAnsi="Arial" w:cs="Arial"/>
          <w:color w:val="1F1F1F"/>
          <w:szCs w:val="28"/>
        </w:rPr>
        <w:lastRenderedPageBreak/>
        <w:t>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14:paraId="1D254359" w14:textId="099BC594"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В отношении заявителей, указанных в пунктах 12(1), 13(2) - 13(5)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14:paraId="37F76F65"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99560F5" w14:textId="2A794B1C"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r w:rsidRPr="000F35BA">
        <w:rPr>
          <w:rFonts w:ascii="Arial" w:hAnsi="Arial" w:cs="Arial"/>
          <w:color w:val="1F1F1F"/>
          <w:szCs w:val="28"/>
        </w:rPr>
        <w:t>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14:paraId="0A434DB6" w14:textId="77777777" w:rsidR="00DD3672" w:rsidRPr="000F35BA" w:rsidRDefault="00DD3672" w:rsidP="00DD3672">
      <w:pPr>
        <w:pStyle w:val="a3"/>
        <w:shd w:val="clear" w:color="auto" w:fill="FFFFFF"/>
        <w:spacing w:before="0" w:beforeAutospacing="0" w:after="0" w:afterAutospacing="0"/>
        <w:ind w:firstLine="708"/>
        <w:jc w:val="both"/>
        <w:textAlignment w:val="baseline"/>
        <w:rPr>
          <w:rFonts w:ascii="Arial" w:hAnsi="Arial" w:cs="Arial"/>
          <w:color w:val="1F1F1F"/>
          <w:szCs w:val="28"/>
        </w:rPr>
      </w:pPr>
    </w:p>
    <w:p w14:paraId="32B5769D" w14:textId="5308FF1B"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е) составление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r:id="rId4" w:history="1">
        <w:r w:rsidRPr="000F35BA">
          <w:rPr>
            <w:rStyle w:val="a4"/>
            <w:rFonts w:ascii="Arial" w:hAnsi="Arial" w:cs="Arial"/>
            <w:color w:val="014DA2"/>
            <w:szCs w:val="28"/>
            <w:bdr w:val="none" w:sz="0" w:space="0" w:color="auto" w:frame="1"/>
          </w:rPr>
          <w:t>пункте 14(2)</w:t>
        </w:r>
      </w:hyperlink>
      <w:r w:rsidRPr="000F35BA">
        <w:rPr>
          <w:rFonts w:ascii="Arial" w:hAnsi="Arial" w:cs="Arial"/>
          <w:color w:val="1F1F1F"/>
          <w:szCs w:val="28"/>
        </w:rPr>
        <w:t> Правил).</w:t>
      </w:r>
    </w:p>
    <w:p w14:paraId="1B2F8D4C" w14:textId="0A4C51F6"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2CF10A6F" w14:textId="362A036A"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4D1D11A" w14:textId="004F92E3"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7C2CA09" w14:textId="56CD7E41"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24717AAB" w14:textId="307BAE5D"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13DD0120" w14:textId="2080EC36"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CF2A751" w14:textId="54097DC8"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B2B33B5" w14:textId="136B5643"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17D901F6" w14:textId="7B2D07FD"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9987C02" w14:textId="39DA1F62"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7FF2D774" w14:textId="4845DE74" w:rsidR="00DD3672"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B73DFE2" w14:textId="6760AF79"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338B503" w14:textId="3184F7D4"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55243B49" w14:textId="6A0343FF"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1A547DBB" w14:textId="36683E95"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5835B730" w14:textId="1FC19D35"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61B8BBE4" w14:textId="070CF82B"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17993109" w14:textId="6AFAEE93"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79F621B" w14:textId="78838471"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687CCCB3" w14:textId="16C5CD5D"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D643690" w14:textId="488DFA9E"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9D4641B" w14:textId="34111815"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0ED5A0EB" w14:textId="348B0F32" w:rsidR="00F20F61"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55D2B101" w14:textId="77777777" w:rsidR="00F20F61" w:rsidRPr="000F35BA" w:rsidRDefault="00F20F61"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1C244C9A" w14:textId="379B6F7C"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6110C315" w14:textId="5B18F111"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66E4FD5A" w14:textId="79D86046"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7CF263EC" w14:textId="79F056BB"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143C49D5" w14:textId="67E93AA1"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7694362E" w14:textId="0A620F2F" w:rsidR="00DD3672" w:rsidRPr="000F35BA" w:rsidRDefault="00DD3672" w:rsidP="00DD3672">
      <w:pPr>
        <w:pStyle w:val="a3"/>
        <w:shd w:val="clear" w:color="auto" w:fill="FFFFFF"/>
        <w:spacing w:before="0" w:beforeAutospacing="0" w:after="0" w:afterAutospacing="0"/>
        <w:jc w:val="center"/>
        <w:textAlignment w:val="baseline"/>
        <w:rPr>
          <w:rFonts w:ascii="Arial" w:hAnsi="Arial" w:cs="Arial"/>
          <w:b/>
          <w:bCs/>
          <w:color w:val="1F1F1F"/>
          <w:szCs w:val="28"/>
        </w:rPr>
      </w:pPr>
      <w:r w:rsidRPr="000F35BA">
        <w:rPr>
          <w:rFonts w:ascii="Arial" w:hAnsi="Arial" w:cs="Arial"/>
          <w:b/>
          <w:bCs/>
          <w:color w:val="1F1F1F"/>
          <w:szCs w:val="28"/>
        </w:rPr>
        <w:lastRenderedPageBreak/>
        <w:t>Мероприятия по технологическому присоединению включают в себя (пункт 18 Правил):</w:t>
      </w:r>
    </w:p>
    <w:p w14:paraId="6EED3B23" w14:textId="77777777" w:rsidR="00DD3672" w:rsidRPr="000F35BA" w:rsidRDefault="00DD3672" w:rsidP="00DD3672">
      <w:pPr>
        <w:pStyle w:val="a3"/>
        <w:shd w:val="clear" w:color="auto" w:fill="FFFFFF"/>
        <w:spacing w:before="0" w:beforeAutospacing="0" w:after="0" w:afterAutospacing="0"/>
        <w:jc w:val="center"/>
        <w:textAlignment w:val="baseline"/>
        <w:rPr>
          <w:rFonts w:ascii="Arial" w:hAnsi="Arial" w:cs="Arial"/>
          <w:color w:val="1F1F1F"/>
          <w:szCs w:val="28"/>
        </w:rPr>
      </w:pPr>
    </w:p>
    <w:p w14:paraId="2EEF780D" w14:textId="1E02AF58"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14:paraId="680D7FBC"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3DD4F95" w14:textId="68EA350C"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б) разработку сетевой организацией проектной документации согласно обязательствам, предусмотренным техническими условиями;</w:t>
      </w:r>
    </w:p>
    <w:p w14:paraId="7C0200D2"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4C42DE32" w14:textId="73E674F8"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6B223185"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C53008D" w14:textId="19D2BD05"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пунктах 12(1) и 14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14:paraId="44AA2C7A"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5748F9A3" w14:textId="4F791EFC"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разделом IX Правил;</w:t>
      </w:r>
    </w:p>
    <w:p w14:paraId="74A67B24"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259DC8F2" w14:textId="31CF0CDD"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r w:rsidRPr="000F35BA">
        <w:rPr>
          <w:rFonts w:ascii="Arial" w:hAnsi="Arial" w:cs="Arial"/>
          <w:color w:val="1F1F1F"/>
          <w:szCs w:val="28"/>
        </w:rPr>
        <w:t>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 w:history="1">
        <w:r w:rsidRPr="000F35BA">
          <w:rPr>
            <w:rStyle w:val="a4"/>
            <w:rFonts w:ascii="Arial" w:hAnsi="Arial" w:cs="Arial"/>
            <w:color w:val="014DA2"/>
            <w:szCs w:val="28"/>
            <w:bdr w:val="none" w:sz="0" w:space="0" w:color="auto" w:frame="1"/>
          </w:rPr>
          <w:t>Правилами</w:t>
        </w:r>
      </w:hyperlink>
      <w:r w:rsidRPr="000F35BA">
        <w:rPr>
          <w:rFonts w:ascii="Arial" w:hAnsi="Arial" w:cs="Arial"/>
          <w:color w:val="1F1F1F"/>
          <w:szCs w:val="28"/>
        </w:rPr>
        <w:t> технологического функционирования электроэнергетических систем;</w:t>
      </w:r>
    </w:p>
    <w:p w14:paraId="6F2D4CA1" w14:textId="77777777"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
    <w:p w14:paraId="3132A084" w14:textId="37E1AE3B" w:rsidR="00DD3672" w:rsidRPr="000F35BA" w:rsidRDefault="00DD3672" w:rsidP="00DD3672">
      <w:pPr>
        <w:pStyle w:val="a3"/>
        <w:shd w:val="clear" w:color="auto" w:fill="FFFFFF"/>
        <w:spacing w:before="0" w:beforeAutospacing="0" w:after="0" w:afterAutospacing="0"/>
        <w:jc w:val="both"/>
        <w:textAlignment w:val="baseline"/>
        <w:rPr>
          <w:rFonts w:ascii="Arial" w:hAnsi="Arial" w:cs="Arial"/>
          <w:color w:val="1F1F1F"/>
          <w:szCs w:val="28"/>
        </w:rPr>
      </w:pPr>
      <w:proofErr w:type="gramStart"/>
      <w:r w:rsidRPr="000F35BA">
        <w:rPr>
          <w:rFonts w:ascii="Arial" w:hAnsi="Arial" w:cs="Arial"/>
          <w:color w:val="1F1F1F"/>
          <w:szCs w:val="28"/>
        </w:rPr>
        <w:t>д(</w:t>
      </w:r>
      <w:proofErr w:type="gramEnd"/>
      <w:r w:rsidRPr="000F35BA">
        <w:rPr>
          <w:rFonts w:ascii="Arial" w:hAnsi="Arial" w:cs="Arial"/>
          <w:color w:val="1F1F1F"/>
          <w:szCs w:val="28"/>
        </w:rPr>
        <w:t>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14:paraId="6CEC9429" w14:textId="0EDD43EA" w:rsidR="004C4F79" w:rsidRPr="000F35BA" w:rsidRDefault="004C4F79" w:rsidP="00DD3672">
      <w:pPr>
        <w:jc w:val="both"/>
        <w:rPr>
          <w:rFonts w:ascii="Arial" w:hAnsi="Arial" w:cs="Arial"/>
          <w:sz w:val="24"/>
          <w:szCs w:val="28"/>
        </w:rPr>
      </w:pPr>
    </w:p>
    <w:sectPr w:rsidR="004C4F79" w:rsidRPr="000F35BA" w:rsidSect="00F20F61">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72"/>
    <w:rsid w:val="000F35BA"/>
    <w:rsid w:val="004C4F79"/>
    <w:rsid w:val="00800963"/>
    <w:rsid w:val="00DD3672"/>
    <w:rsid w:val="00F2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F380"/>
  <w15:chartTrackingRefBased/>
  <w15:docId w15:val="{81AFDED3-9607-4B26-95E7-3C7BEAC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3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B7EEE4DFDA0AD39E74C8F438BEEB2ADBEE8DDF0043B6495BB9D5C066DC8DD0A1D1C9D211B511B935CB66526B3D0B76CFE57D55B66BFC63Ft7N9K" TargetMode="External"/><Relationship Id="rId4" Type="http://schemas.openxmlformats.org/officeDocument/2006/relationships/hyperlink" Target="consultantplus://offline/ref=CA70C8D58DFC389C69A8AA8FFEBB5A02DB623A58030B06C97049A9615E871F00B1A35A40D47147CCF3844E1A2AB6F5C467716F9C6B898D15M1X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2976</Words>
  <Characters>16967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2022-07-26T09:15:00Z</dcterms:created>
  <dcterms:modified xsi:type="dcterms:W3CDTF">2024-02-16T11:24:00Z</dcterms:modified>
</cp:coreProperties>
</file>